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C0A17" w14:textId="77777777" w:rsidR="00083216" w:rsidRPr="00DC5240" w:rsidRDefault="00083216" w:rsidP="00AC2B53">
      <w:pPr>
        <w:pStyle w:val="Textkrper3"/>
        <w:spacing w:after="0" w:line="360" w:lineRule="auto"/>
        <w:rPr>
          <w:rFonts w:ascii="Arial" w:hAnsi="Arial" w:cs="Arial"/>
          <w:sz w:val="34"/>
          <w:szCs w:val="34"/>
          <w:lang w:val="en-GB"/>
        </w:rPr>
      </w:pPr>
      <w:r w:rsidRPr="00DC5240">
        <w:rPr>
          <w:rFonts w:ascii="Arial" w:hAnsi="Arial" w:cs="Arial"/>
          <w:sz w:val="40"/>
          <w:szCs w:val="40"/>
          <w:lang w:val="en-GB"/>
        </w:rPr>
        <w:t>TOP 422 A, 462 A, TOP 632 A, 692 A</w:t>
      </w:r>
      <w:r w:rsidRPr="00DC5240">
        <w:rPr>
          <w:rFonts w:ascii="Arial" w:hAnsi="Arial" w:cs="Arial"/>
          <w:sz w:val="34"/>
          <w:szCs w:val="34"/>
          <w:lang w:val="en-GB"/>
        </w:rPr>
        <w:t xml:space="preserve"> </w:t>
      </w:r>
    </w:p>
    <w:p w14:paraId="72C9853D" w14:textId="3F0B10CC" w:rsidR="0030142C" w:rsidRPr="00B75B7E" w:rsidRDefault="00E55B16" w:rsidP="00AC2B53">
      <w:pPr>
        <w:pStyle w:val="Textkrper3"/>
        <w:spacing w:after="0" w:line="360" w:lineRule="auto"/>
        <w:rPr>
          <w:rFonts w:ascii="Arial" w:hAnsi="Arial" w:cs="Arial"/>
          <w:sz w:val="32"/>
          <w:szCs w:val="32"/>
          <w:lang w:val="it-IT"/>
        </w:rPr>
      </w:pPr>
      <w:r w:rsidRPr="00B75B7E">
        <w:rPr>
          <w:rFonts w:ascii="Arial" w:hAnsi="Arial" w:cs="Arial"/>
          <w:sz w:val="32"/>
          <w:szCs w:val="32"/>
          <w:lang w:val="it-IT"/>
        </w:rPr>
        <w:t>PÖTTINGER si distingue per i suoi nuovi ranghinatori ad 1 ed a 2 giranti</w:t>
      </w:r>
    </w:p>
    <w:p w14:paraId="62238377" w14:textId="44937D50" w:rsidR="00F536C7" w:rsidRPr="00B75B7E" w:rsidRDefault="00E55B16" w:rsidP="00A0275F">
      <w:pPr>
        <w:autoSpaceDE w:val="0"/>
        <w:autoSpaceDN w:val="0"/>
        <w:adjustRightInd w:val="0"/>
        <w:spacing w:line="360" w:lineRule="auto"/>
        <w:jc w:val="both"/>
        <w:textAlignment w:val="center"/>
        <w:rPr>
          <w:rFonts w:ascii="Arial" w:eastAsia="Calibri" w:hAnsi="Arial" w:cs="Arial"/>
          <w:color w:val="000000"/>
          <w:lang w:val="it-IT"/>
        </w:rPr>
      </w:pPr>
      <w:bookmarkStart w:id="0" w:name="_Hlk43961323"/>
      <w:bookmarkStart w:id="1" w:name="_Hlk43976410"/>
      <w:r w:rsidRPr="00B75B7E">
        <w:rPr>
          <w:rFonts w:ascii="Arial" w:eastAsia="Calibri" w:hAnsi="Arial" w:cs="Arial"/>
          <w:color w:val="000000"/>
          <w:lang w:val="it-IT"/>
        </w:rPr>
        <w:t>Il costruttore di macchine agricole PÖTTINGER nello sviluppo dei suoi prodotti cura particolarmente le tematiche della qualità elevata del foraggio, dell'adattamento perfetto al terreno e dell'impiego redditizio del foraggio. I recenti sviluppi tecnologici nel settore dei ranghinatori soddisfano appieno queste esigenze. Per la stagione della fienagione 2021 PÖTTINGER presenta due modelli ciascuno di ranghinatori ad 1 ed a 2 giranti. I ranghinatori ad 1 girante TOP 422 A e  TOP 462 A sono disponibili nelle larghezze di lavoro di 4,20 m e 4,60 m. Il modello a 2 giranti dispone, per un'andana singola laterale, di una larghezza di lavoro da 3,40 m fino a 6,30 m, per andana doppia di una larghezza di lavoro di 6,30 m. Il TOP 692 A colpisce per una larghezza di lavoro da 3,70 m fino a 6,90 m p</w:t>
      </w:r>
      <w:r w:rsidR="002C332B">
        <w:rPr>
          <w:rFonts w:ascii="Arial" w:eastAsia="Calibri" w:hAnsi="Arial" w:cs="Arial"/>
          <w:color w:val="000000"/>
          <w:lang w:val="it-IT"/>
        </w:rPr>
        <w:t>er un'andana singola laterale e</w:t>
      </w:r>
      <w:r w:rsidRPr="00B75B7E">
        <w:rPr>
          <w:rFonts w:ascii="Arial" w:eastAsia="Calibri" w:hAnsi="Arial" w:cs="Arial"/>
          <w:color w:val="000000"/>
          <w:lang w:val="it-IT"/>
        </w:rPr>
        <w:t xml:space="preserve"> per una larghezza di lavoro di 7,40 m con andana doppia</w:t>
      </w:r>
      <w:r w:rsidR="00F536C7" w:rsidRPr="00B75B7E">
        <w:rPr>
          <w:rFonts w:ascii="Arial" w:eastAsia="Calibri" w:hAnsi="Arial" w:cs="Arial"/>
          <w:color w:val="000000"/>
          <w:lang w:val="it-IT"/>
        </w:rPr>
        <w:t xml:space="preserve">. </w:t>
      </w:r>
    </w:p>
    <w:bookmarkEnd w:id="0"/>
    <w:p w14:paraId="52B62B27" w14:textId="77777777" w:rsidR="00A0275F" w:rsidRPr="00B75B7E" w:rsidRDefault="00A0275F" w:rsidP="00A0275F">
      <w:pPr>
        <w:autoSpaceDE w:val="0"/>
        <w:autoSpaceDN w:val="0"/>
        <w:adjustRightInd w:val="0"/>
        <w:spacing w:line="360" w:lineRule="auto"/>
        <w:jc w:val="both"/>
        <w:textAlignment w:val="center"/>
        <w:rPr>
          <w:rFonts w:ascii="Arial" w:eastAsia="Calibri" w:hAnsi="Arial" w:cs="Arial"/>
          <w:b/>
          <w:bCs/>
          <w:color w:val="000000"/>
          <w:lang w:val="it-IT"/>
        </w:rPr>
      </w:pPr>
    </w:p>
    <w:bookmarkEnd w:id="1"/>
    <w:p w14:paraId="7FB0FAC2" w14:textId="27FC4789" w:rsidR="00362EF2" w:rsidRPr="00B75B7E" w:rsidRDefault="00E55B16" w:rsidP="00A0275F">
      <w:pPr>
        <w:autoSpaceDE w:val="0"/>
        <w:autoSpaceDN w:val="0"/>
        <w:adjustRightInd w:val="0"/>
        <w:spacing w:line="360" w:lineRule="auto"/>
        <w:jc w:val="both"/>
        <w:textAlignment w:val="center"/>
        <w:rPr>
          <w:rFonts w:ascii="Arial" w:eastAsia="Calibri" w:hAnsi="Arial" w:cs="Arial"/>
          <w:b/>
          <w:bCs/>
          <w:color w:val="000000"/>
          <w:lang w:val="it-IT"/>
        </w:rPr>
      </w:pPr>
      <w:r w:rsidRPr="00B75B7E">
        <w:rPr>
          <w:rFonts w:ascii="Arial" w:eastAsia="Calibri" w:hAnsi="Arial" w:cs="Arial"/>
          <w:b/>
          <w:bCs/>
          <w:color w:val="000000"/>
          <w:lang w:val="it-IT"/>
        </w:rPr>
        <w:t>Grandi prestazioni con piccoli trattori</w:t>
      </w:r>
    </w:p>
    <w:p w14:paraId="45ACB724" w14:textId="77777777" w:rsidR="00E55B16" w:rsidRPr="00B75B7E" w:rsidRDefault="00E55B16" w:rsidP="00E55B16">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it-IT"/>
        </w:rPr>
      </w:pPr>
      <w:r w:rsidRPr="00B75B7E">
        <w:rPr>
          <w:rFonts w:ascii="Arial" w:eastAsia="Calibri" w:hAnsi="Arial" w:cs="Arial"/>
          <w:color w:val="000000"/>
          <w:spacing w:val="2"/>
          <w:lang w:val="it-IT"/>
        </w:rPr>
        <w:t xml:space="preserve">I </w:t>
      </w:r>
      <w:r w:rsidRPr="00B75B7E">
        <w:rPr>
          <w:rFonts w:ascii="Arial" w:eastAsia="Calibri" w:hAnsi="Arial" w:cs="Arial"/>
          <w:b/>
          <w:bCs/>
          <w:color w:val="000000"/>
          <w:spacing w:val="2"/>
          <w:lang w:val="it-IT"/>
        </w:rPr>
        <w:t>ranghinatori semiportati ad 1 girante</w:t>
      </w:r>
      <w:r w:rsidR="00A0275F" w:rsidRPr="00B75B7E">
        <w:rPr>
          <w:rFonts w:ascii="Arial" w:eastAsia="Calibri" w:hAnsi="Arial" w:cs="Arial"/>
          <w:color w:val="000000"/>
          <w:spacing w:val="2"/>
          <w:lang w:val="it-IT"/>
        </w:rPr>
        <w:t xml:space="preserve"> </w:t>
      </w:r>
      <w:r w:rsidRPr="00B75B7E">
        <w:rPr>
          <w:rFonts w:ascii="Arial" w:eastAsia="Calibri" w:hAnsi="Arial" w:cs="Arial"/>
          <w:color w:val="000000"/>
          <w:spacing w:val="2"/>
          <w:lang w:val="it-IT"/>
        </w:rPr>
        <w:t>sono concepiti per grandi larghezze di lavoro con piccoli trattori. Grazie alla struttura trainata non è necessaria alcuna forza di sollevamento del trattore. È garantito un facile agganciamento e sganciamento. Grazie al timone a parallelogramma sia il TOP 422 A che il modello più grande TOP 462 A possono essere agganciati alla barra di traino mediante la piastra di attacco. Anche nei modelli ad 1 girante si è prestata particolare attenzione al comfort: il sollevamento idraulico per il trasporto su strada si effettua comodamente dal posto di guida. Cilindri idraulici montati sul telaio e sul timone garantiscono una libertà dal suolo di 50 cm.</w:t>
      </w:r>
    </w:p>
    <w:p w14:paraId="7A44920D" w14:textId="1726C07F" w:rsidR="004E64D5" w:rsidRPr="00B75B7E" w:rsidRDefault="00E55B16" w:rsidP="00E55B16">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spacing w:val="2"/>
          <w:lang w:val="it-IT"/>
        </w:rPr>
      </w:pPr>
      <w:r w:rsidRPr="00B75B7E">
        <w:rPr>
          <w:rFonts w:ascii="Arial" w:eastAsia="Calibri" w:hAnsi="Arial" w:cs="Arial"/>
          <w:color w:val="000000"/>
          <w:spacing w:val="2"/>
          <w:lang w:val="it-IT"/>
        </w:rPr>
        <w:t>Gli assali a tandem supportano l'adattamento perfetto al terreno. I pneumatici Ballon 18,5 x 8,5-8, di serie consento</w:t>
      </w:r>
      <w:r w:rsidR="00DC5240">
        <w:rPr>
          <w:rFonts w:ascii="Arial" w:eastAsia="Calibri" w:hAnsi="Arial" w:cs="Arial"/>
          <w:color w:val="000000"/>
          <w:spacing w:val="2"/>
          <w:lang w:val="it-IT"/>
        </w:rPr>
        <w:t xml:space="preserve">no una </w:t>
      </w:r>
      <w:r w:rsidR="00DC5240" w:rsidRPr="00F95D6A">
        <w:rPr>
          <w:rFonts w:ascii="Arial" w:eastAsia="Calibri" w:hAnsi="Arial" w:cs="Arial"/>
          <w:color w:val="000000"/>
          <w:spacing w:val="2"/>
          <w:lang w:val="it-IT"/>
        </w:rPr>
        <w:t>corsa regolare</w:t>
      </w:r>
      <w:r w:rsidRPr="00B75B7E">
        <w:rPr>
          <w:rFonts w:ascii="Arial" w:eastAsia="Calibri" w:hAnsi="Arial" w:cs="Arial"/>
          <w:color w:val="000000"/>
          <w:spacing w:val="2"/>
          <w:lang w:val="it-IT"/>
        </w:rPr>
        <w:t xml:space="preserve"> della macchina anche nel trasporto su strada</w:t>
      </w:r>
      <w:r w:rsidR="00D23B81" w:rsidRPr="00B75B7E">
        <w:rPr>
          <w:rFonts w:ascii="Arial" w:eastAsia="Calibri" w:hAnsi="Arial" w:cs="Arial"/>
          <w:spacing w:val="2"/>
          <w:lang w:val="it-IT"/>
        </w:rPr>
        <w:t>.</w:t>
      </w:r>
    </w:p>
    <w:p w14:paraId="3361D655" w14:textId="77777777" w:rsidR="004E64D5" w:rsidRPr="00B75B7E"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it-IT"/>
        </w:rPr>
      </w:pPr>
    </w:p>
    <w:p w14:paraId="48C1806C" w14:textId="66A9AC09" w:rsidR="004E64D5" w:rsidRPr="00B75B7E" w:rsidRDefault="00E55B16"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lang w:val="it-IT"/>
        </w:rPr>
      </w:pPr>
      <w:r w:rsidRPr="00B75B7E">
        <w:rPr>
          <w:rFonts w:ascii="Arial" w:eastAsia="Calibri" w:hAnsi="Arial" w:cs="Arial"/>
          <w:b/>
          <w:bCs/>
          <w:color w:val="000000"/>
          <w:spacing w:val="2"/>
          <w:lang w:val="it-IT"/>
        </w:rPr>
        <w:t>Adattamento al terreno per eccellenza</w:t>
      </w:r>
    </w:p>
    <w:p w14:paraId="10C161E6" w14:textId="437F7D2C" w:rsidR="00FC25B8" w:rsidRPr="00B75B7E" w:rsidRDefault="00E55B16" w:rsidP="00927E8C">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Il telaio estremamente mobile e robusto è una novità per i ranghinatori TOP 632 A e TOP 692 A. I nuovi ranghinatori semiportati a 2 giranti sono dotati di serie di assali a tandem. Per quanto riguarda l'adattamento al terreno i ranghinatori si distinguono per le ruote tastatrici doppie interne (disponibili</w:t>
      </w:r>
      <w:r w:rsidR="00DC5240">
        <w:rPr>
          <w:rFonts w:ascii="Arial" w:eastAsia="Calibri" w:hAnsi="Arial" w:cs="Arial"/>
          <w:color w:val="000000"/>
          <w:spacing w:val="2"/>
          <w:lang w:val="it-IT"/>
        </w:rPr>
        <w:t xml:space="preserve"> </w:t>
      </w:r>
      <w:r w:rsidRPr="00B75B7E">
        <w:rPr>
          <w:rFonts w:ascii="Arial" w:eastAsia="Calibri" w:hAnsi="Arial" w:cs="Arial"/>
          <w:color w:val="000000"/>
          <w:spacing w:val="2"/>
          <w:lang w:val="it-IT"/>
        </w:rPr>
        <w:t xml:space="preserve">su richiesta) e naturalmente anche per le pluriaffermate ruote tastatrici MULTITAST davanti ai giranti, disponibili su richiesta. Il telaio è strutturato in modo da consentire ad entrambi i giranti di adattarsi in modo indipendente alle irregolarità del terreno. L'agganciamento cardanico del girante posteriore e gli ampi interspazi tra i giunti del telaio consentono un adattamento tridimensionale dei giranti a qualsiasi irregolarità del terreno. L'adattamento verticale è garantito da uno snodo posto direttamente dietro alla scatola di moto </w:t>
      </w:r>
      <w:r w:rsidRPr="00F95D6A">
        <w:rPr>
          <w:rFonts w:ascii="Arial" w:eastAsia="Calibri" w:hAnsi="Arial" w:cs="Arial"/>
          <w:color w:val="000000"/>
          <w:spacing w:val="2"/>
          <w:lang w:val="it-IT"/>
        </w:rPr>
        <w:t>angolare. L'adattamento trasversale del girante posteriore avvi</w:t>
      </w:r>
      <w:r w:rsidR="00DC5240" w:rsidRPr="00F95D6A">
        <w:rPr>
          <w:rFonts w:ascii="Arial" w:eastAsia="Calibri" w:hAnsi="Arial" w:cs="Arial"/>
          <w:color w:val="000000"/>
          <w:spacing w:val="2"/>
          <w:lang w:val="it-IT"/>
        </w:rPr>
        <w:t>ene mediante uno snodo</w:t>
      </w:r>
      <w:r w:rsidRPr="00F95D6A">
        <w:rPr>
          <w:rFonts w:ascii="Arial" w:eastAsia="Calibri" w:hAnsi="Arial" w:cs="Arial"/>
          <w:color w:val="000000"/>
          <w:spacing w:val="2"/>
          <w:lang w:val="it-IT"/>
        </w:rPr>
        <w:t xml:space="preserve"> posto</w:t>
      </w:r>
      <w:r w:rsidRPr="00B75B7E">
        <w:rPr>
          <w:rFonts w:ascii="Arial" w:eastAsia="Calibri" w:hAnsi="Arial" w:cs="Arial"/>
          <w:color w:val="000000"/>
          <w:spacing w:val="2"/>
          <w:lang w:val="it-IT"/>
        </w:rPr>
        <w:t xml:space="preserve"> nel telaio stesso ed un giunto cardanico situato tra telaio e girante posteriore. Questa flessibilità protegge i denti e non</w:t>
      </w:r>
      <w:bookmarkStart w:id="2" w:name="_GoBack"/>
      <w:bookmarkEnd w:id="2"/>
      <w:r w:rsidRPr="00B75B7E">
        <w:rPr>
          <w:rFonts w:ascii="Arial" w:eastAsia="Calibri" w:hAnsi="Arial" w:cs="Arial"/>
          <w:color w:val="000000"/>
          <w:spacing w:val="2"/>
          <w:lang w:val="it-IT"/>
        </w:rPr>
        <w:t xml:space="preserve"> lascia indietro foraggio non ranghinato</w:t>
      </w:r>
      <w:r w:rsidR="00FC25B8" w:rsidRPr="00B75B7E">
        <w:rPr>
          <w:rFonts w:ascii="Arial" w:eastAsia="Calibri" w:hAnsi="Arial" w:cs="Arial"/>
          <w:color w:val="000000"/>
          <w:spacing w:val="2"/>
          <w:lang w:val="it-IT"/>
        </w:rPr>
        <w:t xml:space="preserve">.  </w:t>
      </w:r>
    </w:p>
    <w:p w14:paraId="71CE009C" w14:textId="06FA6406" w:rsidR="00927E8C" w:rsidRPr="00B75B7E" w:rsidRDefault="00927E8C" w:rsidP="00927E8C">
      <w:pPr>
        <w:spacing w:line="360" w:lineRule="auto"/>
        <w:jc w:val="both"/>
        <w:rPr>
          <w:rFonts w:ascii="Arial" w:eastAsia="Calibri" w:hAnsi="Arial" w:cs="Arial"/>
          <w:color w:val="000000"/>
          <w:spacing w:val="2"/>
          <w:lang w:val="it-IT"/>
        </w:rPr>
      </w:pPr>
    </w:p>
    <w:p w14:paraId="4EDBFDB1" w14:textId="61700F1A" w:rsidR="00927E8C" w:rsidRPr="00B75B7E" w:rsidRDefault="00E55B16" w:rsidP="00927E8C">
      <w:pPr>
        <w:spacing w:line="360" w:lineRule="auto"/>
        <w:jc w:val="both"/>
        <w:rPr>
          <w:rFonts w:ascii="Arial" w:eastAsia="Calibri" w:hAnsi="Arial" w:cs="Arial"/>
          <w:b/>
          <w:bCs/>
          <w:color w:val="000000"/>
          <w:spacing w:val="2"/>
          <w:lang w:val="it-IT"/>
        </w:rPr>
      </w:pPr>
      <w:r w:rsidRPr="00B75B7E">
        <w:rPr>
          <w:rFonts w:ascii="Arial" w:eastAsia="Calibri" w:hAnsi="Arial" w:cs="Arial"/>
          <w:b/>
          <w:bCs/>
          <w:color w:val="000000"/>
          <w:spacing w:val="2"/>
          <w:lang w:val="it-IT"/>
        </w:rPr>
        <w:t>Affidabili e sicuri</w:t>
      </w:r>
    </w:p>
    <w:p w14:paraId="3DFCAED6" w14:textId="77777777" w:rsidR="00B75B7E" w:rsidRPr="00B75B7E" w:rsidRDefault="00B75B7E" w:rsidP="00B75B7E">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 xml:space="preserve">Gli </w:t>
      </w:r>
      <w:r w:rsidRPr="00B75B7E">
        <w:rPr>
          <w:rFonts w:ascii="Arial" w:eastAsia="Calibri" w:hAnsi="Arial" w:cs="Arial"/>
          <w:b/>
          <w:color w:val="000000"/>
          <w:spacing w:val="2"/>
          <w:lang w:val="it-IT"/>
        </w:rPr>
        <w:t>ampi carrelli dei giranti</w:t>
      </w:r>
      <w:r w:rsidRPr="00B75B7E">
        <w:rPr>
          <w:rFonts w:ascii="Arial" w:eastAsia="Calibri" w:hAnsi="Arial" w:cs="Arial"/>
          <w:color w:val="000000"/>
          <w:spacing w:val="2"/>
          <w:lang w:val="it-IT"/>
        </w:rPr>
        <w:t xml:space="preserve"> dei ranghinatori a 2 giranti TOP 632 A e TOP 692 A garantiscono non solo un eccellente adattamento al terreno, ma anche massima stabilità sui pendii. Pneumatici con profilo AS (disponibili su richiesta) sui rispettivi assali posteriori conferiscono una stabilità ancora maggiore sui pendii.</w:t>
      </w:r>
    </w:p>
    <w:p w14:paraId="0AF4D200" w14:textId="074323BD" w:rsidR="002D171C" w:rsidRPr="00B75B7E" w:rsidRDefault="00B75B7E" w:rsidP="00B75B7E">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 xml:space="preserve">Il </w:t>
      </w:r>
      <w:r w:rsidRPr="00B75B7E">
        <w:rPr>
          <w:rFonts w:ascii="Arial" w:eastAsia="Calibri" w:hAnsi="Arial" w:cs="Arial"/>
          <w:b/>
          <w:color w:val="000000"/>
          <w:spacing w:val="2"/>
          <w:lang w:val="it-IT"/>
        </w:rPr>
        <w:t>telaio</w:t>
      </w:r>
      <w:r w:rsidRPr="00B75B7E">
        <w:rPr>
          <w:rFonts w:ascii="Arial" w:eastAsia="Calibri" w:hAnsi="Arial" w:cs="Arial"/>
          <w:color w:val="000000"/>
          <w:spacing w:val="2"/>
          <w:lang w:val="it-IT"/>
        </w:rPr>
        <w:t xml:space="preserve"> per il secondo girante è montato 650 mm davanti al punto centrale del primo girante. Così nell'impiego sui pendii il ranghinatore mantiene la carreggiata, offrendo sufficiente sovrapposizione in curva. Il </w:t>
      </w:r>
      <w:r w:rsidRPr="00DC5240">
        <w:rPr>
          <w:rFonts w:ascii="Arial" w:eastAsia="Calibri" w:hAnsi="Arial" w:cs="Arial"/>
          <w:b/>
          <w:color w:val="000000"/>
          <w:spacing w:val="2"/>
          <w:lang w:val="it-IT"/>
        </w:rPr>
        <w:t>timone</w:t>
      </w:r>
      <w:r w:rsidRPr="00B75B7E">
        <w:rPr>
          <w:rFonts w:ascii="Arial" w:eastAsia="Calibri" w:hAnsi="Arial" w:cs="Arial"/>
          <w:color w:val="000000"/>
          <w:spacing w:val="2"/>
          <w:lang w:val="it-IT"/>
        </w:rPr>
        <w:t xml:space="preserve"> è dotato di una grande piastra di supporto, che conferisce ulteriore s</w:t>
      </w:r>
      <w:r>
        <w:rPr>
          <w:rFonts w:ascii="Arial" w:eastAsia="Calibri" w:hAnsi="Arial" w:cs="Arial"/>
          <w:color w:val="000000"/>
          <w:spacing w:val="2"/>
          <w:lang w:val="it-IT"/>
        </w:rPr>
        <w:t>tabilità sui pendii ed in curva</w:t>
      </w:r>
      <w:r w:rsidR="002D171C" w:rsidRPr="00B75B7E">
        <w:rPr>
          <w:rFonts w:ascii="Arial" w:eastAsia="Calibri" w:hAnsi="Arial" w:cs="Arial"/>
          <w:color w:val="000000"/>
          <w:spacing w:val="2"/>
          <w:lang w:val="it-IT"/>
        </w:rPr>
        <w:t>.</w:t>
      </w:r>
    </w:p>
    <w:p w14:paraId="1FCF9278" w14:textId="649E54D3" w:rsidR="00A3349A" w:rsidRPr="00B75B7E" w:rsidRDefault="00B75B7E" w:rsidP="00927E8C">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lastRenderedPageBreak/>
        <w:t>Durante il passaggio sulle andane o a fine campo i giranti vengono sollevati idraulicamente. Grazie alla notevole libertà dal suolo a fine campo di 50 cm è possibile passare anche su grandi andane lasciandole intatte</w:t>
      </w:r>
      <w:r w:rsidR="00A3349A" w:rsidRPr="00B75B7E">
        <w:rPr>
          <w:rFonts w:ascii="Arial" w:eastAsia="Calibri" w:hAnsi="Arial" w:cs="Arial"/>
          <w:color w:val="000000"/>
          <w:spacing w:val="2"/>
          <w:lang w:val="it-IT"/>
        </w:rPr>
        <w:t xml:space="preserve">. </w:t>
      </w:r>
    </w:p>
    <w:p w14:paraId="68E674BA" w14:textId="6C18FE00" w:rsidR="00A3349A" w:rsidRPr="00B75B7E" w:rsidRDefault="00A3349A" w:rsidP="00927E8C">
      <w:pPr>
        <w:spacing w:line="360" w:lineRule="auto"/>
        <w:jc w:val="both"/>
        <w:rPr>
          <w:rFonts w:ascii="Arial" w:eastAsia="Calibri" w:hAnsi="Arial" w:cs="Arial"/>
          <w:color w:val="000000"/>
          <w:spacing w:val="2"/>
          <w:lang w:val="it-IT"/>
        </w:rPr>
      </w:pPr>
    </w:p>
    <w:p w14:paraId="15D53E90" w14:textId="36D1B1E7" w:rsidR="00A3349A" w:rsidRPr="00B75B7E" w:rsidRDefault="00B75B7E" w:rsidP="00927E8C">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 xml:space="preserve">Un ulteriore aspetto positivo in quanto a qualità di lavoro è costituito dalla </w:t>
      </w:r>
      <w:r w:rsidRPr="00B75B7E">
        <w:rPr>
          <w:rFonts w:ascii="Arial" w:eastAsia="Calibri" w:hAnsi="Arial" w:cs="Arial"/>
          <w:b/>
          <w:color w:val="000000"/>
          <w:spacing w:val="2"/>
          <w:lang w:val="it-IT"/>
        </w:rPr>
        <w:t>regolazione idraulica della larghezza di lavoro</w:t>
      </w:r>
      <w:r w:rsidRPr="00B75B7E">
        <w:rPr>
          <w:rFonts w:ascii="Arial" w:eastAsia="Calibri" w:hAnsi="Arial" w:cs="Arial"/>
          <w:color w:val="000000"/>
          <w:spacing w:val="2"/>
          <w:lang w:val="it-IT"/>
        </w:rPr>
        <w:t>. La larghezza di lavoro è modificabile in qualsiasi momento in base alla quantità di foraggio ed è adattabile in modo ottimale a qualsiasi macchina successiva. Grazie ad essa è possibile scegliere tra la formazione di un'andana singola</w:t>
      </w:r>
      <w:r w:rsidR="00DC5240">
        <w:rPr>
          <w:rFonts w:ascii="Arial" w:eastAsia="Calibri" w:hAnsi="Arial" w:cs="Arial"/>
          <w:color w:val="000000"/>
          <w:spacing w:val="2"/>
          <w:lang w:val="it-IT"/>
        </w:rPr>
        <w:t xml:space="preserve"> laterale o di due andane</w:t>
      </w:r>
      <w:r w:rsidRPr="00B75B7E">
        <w:rPr>
          <w:rFonts w:ascii="Arial" w:eastAsia="Calibri" w:hAnsi="Arial" w:cs="Arial"/>
          <w:color w:val="000000"/>
          <w:spacing w:val="2"/>
          <w:lang w:val="it-IT"/>
        </w:rPr>
        <w:t xml:space="preserve"> (una centrale ed una laterale)</w:t>
      </w:r>
      <w:r w:rsidR="00A3349A" w:rsidRPr="00B75B7E">
        <w:rPr>
          <w:rFonts w:ascii="Arial" w:eastAsia="Calibri" w:hAnsi="Arial" w:cs="Arial"/>
          <w:color w:val="000000"/>
          <w:spacing w:val="2"/>
          <w:lang w:val="it-IT"/>
        </w:rPr>
        <w:t xml:space="preserve">. </w:t>
      </w:r>
    </w:p>
    <w:p w14:paraId="2B326981" w14:textId="48064E88" w:rsidR="00A3349A" w:rsidRPr="00B75B7E" w:rsidRDefault="00A3349A" w:rsidP="00927E8C">
      <w:pPr>
        <w:spacing w:line="360" w:lineRule="auto"/>
        <w:jc w:val="both"/>
        <w:rPr>
          <w:rFonts w:ascii="Arial" w:eastAsia="Calibri" w:hAnsi="Arial" w:cs="Arial"/>
          <w:color w:val="000000"/>
          <w:spacing w:val="2"/>
          <w:lang w:val="it-IT"/>
        </w:rPr>
      </w:pPr>
    </w:p>
    <w:p w14:paraId="34FF9AFD" w14:textId="5A22DD43" w:rsidR="00A3349A" w:rsidRPr="00B75B7E" w:rsidRDefault="00B75B7E" w:rsidP="00927E8C">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Una cosa è certa: il robusto telaio è strutturato per resistere agli impieghi più duri, garantendo così sicurezza d'impiego e lunga durata. Gli ampi interspazi tra i giunti del telaio consentono un'elevata capacita di adattamento dei giranti a qualsiasi irregolarità del terreno</w:t>
      </w:r>
      <w:r w:rsidR="00A3349A" w:rsidRPr="00B75B7E">
        <w:rPr>
          <w:rFonts w:ascii="Arial" w:eastAsia="Calibri" w:hAnsi="Arial" w:cs="Arial"/>
          <w:color w:val="000000"/>
          <w:spacing w:val="2"/>
          <w:lang w:val="it-IT"/>
        </w:rPr>
        <w:t xml:space="preserve">. </w:t>
      </w:r>
    </w:p>
    <w:p w14:paraId="308064DB" w14:textId="48A9F25C" w:rsidR="002D171C" w:rsidRPr="00B75B7E" w:rsidRDefault="002D171C" w:rsidP="00927E8C">
      <w:pPr>
        <w:spacing w:line="360" w:lineRule="auto"/>
        <w:jc w:val="both"/>
        <w:rPr>
          <w:rFonts w:ascii="Arial" w:eastAsia="Calibri" w:hAnsi="Arial" w:cs="Arial"/>
          <w:color w:val="000000"/>
          <w:spacing w:val="2"/>
          <w:lang w:val="it-IT"/>
        </w:rPr>
      </w:pPr>
    </w:p>
    <w:p w14:paraId="3AC3943B" w14:textId="2545D402" w:rsidR="002D171C" w:rsidRPr="00B75B7E" w:rsidRDefault="00B75B7E" w:rsidP="00927E8C">
      <w:pPr>
        <w:spacing w:line="360" w:lineRule="auto"/>
        <w:jc w:val="both"/>
        <w:rPr>
          <w:rFonts w:ascii="Arial" w:eastAsia="Calibri" w:hAnsi="Arial" w:cs="Arial"/>
          <w:color w:val="000000"/>
          <w:spacing w:val="2"/>
          <w:lang w:val="it-IT"/>
        </w:rPr>
      </w:pPr>
      <w:r w:rsidRPr="00B75B7E">
        <w:rPr>
          <w:rFonts w:ascii="Arial" w:eastAsia="Calibri" w:hAnsi="Arial" w:cs="Arial"/>
          <w:color w:val="000000"/>
          <w:spacing w:val="2"/>
          <w:lang w:val="it-IT"/>
        </w:rPr>
        <w:t>PÖTTINGER con i suoi nuovi ranghinatori ad 1 ed a 2 giranti inserisce nel suo programma per la fienagione altre macchine che garantiscono il miglior foraggio, sicurezza d'impiego e lunga durata</w:t>
      </w:r>
      <w:r w:rsidR="002D171C" w:rsidRPr="00B75B7E">
        <w:rPr>
          <w:rFonts w:ascii="Arial" w:eastAsia="Calibri" w:hAnsi="Arial" w:cs="Arial"/>
          <w:color w:val="000000"/>
          <w:spacing w:val="2"/>
          <w:lang w:val="it-IT"/>
        </w:rPr>
        <w:t xml:space="preserve">.  </w:t>
      </w:r>
    </w:p>
    <w:p w14:paraId="5C3A1CCB" w14:textId="3C6F7110" w:rsidR="005C202C" w:rsidRPr="00B75B7E" w:rsidRDefault="005C202C" w:rsidP="0030142C">
      <w:pPr>
        <w:rPr>
          <w:rFonts w:ascii="HelveticaNeueLT W1G 45 Lt" w:eastAsia="Calibri" w:hAnsi="HelveticaNeueLT W1G 45 Lt" w:cs="HelveticaNeueLT W1G 45 Lt"/>
          <w:color w:val="000000"/>
          <w:spacing w:val="2"/>
          <w:sz w:val="18"/>
          <w:szCs w:val="18"/>
          <w:lang w:val="it-IT"/>
        </w:rPr>
      </w:pPr>
    </w:p>
    <w:p w14:paraId="1A513A12" w14:textId="77777777" w:rsidR="005C202C" w:rsidRPr="00B75B7E" w:rsidRDefault="005C202C" w:rsidP="0030142C">
      <w:pPr>
        <w:rPr>
          <w:rFonts w:ascii="HelveticaNeueLT W1G 45 Lt" w:eastAsia="Calibri" w:hAnsi="HelveticaNeueLT W1G 45 Lt" w:cs="HelveticaNeueLT W1G 45 Lt"/>
          <w:color w:val="000000"/>
          <w:spacing w:val="2"/>
          <w:sz w:val="18"/>
          <w:szCs w:val="18"/>
          <w:lang w:val="it-IT"/>
        </w:rPr>
      </w:pPr>
    </w:p>
    <w:p w14:paraId="71285EB5" w14:textId="236922E3" w:rsidR="008F1E41" w:rsidRPr="00B75B7E" w:rsidRDefault="000E0FA8" w:rsidP="004C7F5C">
      <w:pPr>
        <w:pStyle w:val="Textkrper3"/>
        <w:rPr>
          <w:rFonts w:ascii="Arial" w:hAnsi="Arial" w:cs="Arial"/>
          <w:b/>
          <w:sz w:val="24"/>
          <w:szCs w:val="24"/>
          <w:lang w:val="it-IT"/>
        </w:rPr>
      </w:pPr>
      <w:r w:rsidRPr="00B75B7E">
        <w:rPr>
          <w:rFonts w:ascii="Arial" w:hAnsi="Arial" w:cs="Arial"/>
          <w:b/>
          <w:sz w:val="24"/>
          <w:szCs w:val="24"/>
          <w:lang w:val="it-IT"/>
        </w:rPr>
        <w:t>Anteprima foto</w:t>
      </w:r>
      <w:r w:rsidR="00B75B7E">
        <w:rPr>
          <w:rFonts w:ascii="Arial" w:hAnsi="Arial" w:cs="Arial"/>
          <w:b/>
          <w:sz w:val="24"/>
          <w:szCs w:val="24"/>
          <w:lang w:val="it-IT"/>
        </w:rPr>
        <w:t>:</w:t>
      </w:r>
    </w:p>
    <w:p w14:paraId="34C63540" w14:textId="7E80A21F" w:rsidR="004C7F5C" w:rsidRPr="00B75B7E" w:rsidRDefault="004C7F5C" w:rsidP="004C7F5C">
      <w:pPr>
        <w:pStyle w:val="Textkrper3"/>
        <w:rPr>
          <w:noProof/>
          <w:lang w:val="it-IT" w:eastAsia="de-DE"/>
        </w:rPr>
      </w:pPr>
    </w:p>
    <w:tbl>
      <w:tblPr>
        <w:tblStyle w:val="Tabellenraster"/>
        <w:tblW w:w="0" w:type="auto"/>
        <w:tblLook w:val="04A0" w:firstRow="1" w:lastRow="0" w:firstColumn="1" w:lastColumn="0" w:noHBand="0" w:noVBand="1"/>
      </w:tblPr>
      <w:tblGrid>
        <w:gridCol w:w="4264"/>
        <w:gridCol w:w="4265"/>
      </w:tblGrid>
      <w:tr w:rsidR="006621C7" w:rsidRPr="00B75B7E" w14:paraId="0033F5F0" w14:textId="77777777" w:rsidTr="006621C7">
        <w:tc>
          <w:tcPr>
            <w:tcW w:w="4151" w:type="dxa"/>
          </w:tcPr>
          <w:p w14:paraId="73345DE9" w14:textId="77777777" w:rsidR="006621C7" w:rsidRPr="00B75B7E" w:rsidRDefault="006621C7" w:rsidP="006621C7">
            <w:pPr>
              <w:pStyle w:val="Textkrper3"/>
              <w:jc w:val="center"/>
              <w:rPr>
                <w:noProof/>
                <w:lang w:val="it-IT"/>
              </w:rPr>
            </w:pPr>
          </w:p>
          <w:p w14:paraId="1878E995" w14:textId="705305AE" w:rsidR="003073C0" w:rsidRPr="00B75B7E" w:rsidRDefault="003073C0" w:rsidP="006621C7">
            <w:pPr>
              <w:pStyle w:val="Textkrper3"/>
              <w:jc w:val="center"/>
              <w:rPr>
                <w:lang w:val="it-IT"/>
              </w:rPr>
            </w:pPr>
          </w:p>
        </w:tc>
        <w:tc>
          <w:tcPr>
            <w:tcW w:w="4152" w:type="dxa"/>
          </w:tcPr>
          <w:p w14:paraId="5644FA07" w14:textId="77777777" w:rsidR="009A01F5" w:rsidRPr="00B75B7E" w:rsidRDefault="009A01F5" w:rsidP="006621C7">
            <w:pPr>
              <w:pStyle w:val="Textkrper3"/>
              <w:jc w:val="center"/>
              <w:rPr>
                <w:noProof/>
                <w:lang w:val="it-IT"/>
              </w:rPr>
            </w:pPr>
          </w:p>
          <w:p w14:paraId="127B03A6" w14:textId="0998AAF1" w:rsidR="0030142C" w:rsidRPr="00B75B7E" w:rsidRDefault="0030142C" w:rsidP="006621C7">
            <w:pPr>
              <w:pStyle w:val="Textkrper3"/>
              <w:jc w:val="center"/>
              <w:rPr>
                <w:noProof/>
                <w:lang w:val="it-IT"/>
              </w:rPr>
            </w:pPr>
          </w:p>
          <w:p w14:paraId="71A5C999" w14:textId="7954402D" w:rsidR="003073C0" w:rsidRPr="00B75B7E" w:rsidRDefault="0033793E" w:rsidP="0030142C">
            <w:pPr>
              <w:pStyle w:val="Textkrper3"/>
              <w:jc w:val="center"/>
              <w:rPr>
                <w:noProof/>
                <w:lang w:val="it-IT"/>
              </w:rPr>
            </w:pPr>
            <w:r w:rsidRPr="00B75B7E">
              <w:rPr>
                <w:noProof/>
                <w:lang w:eastAsia="de-DE"/>
              </w:rPr>
              <w:drawing>
                <wp:inline distT="0" distB="0" distL="0" distR="0" wp14:anchorId="302EFDE0" wp14:editId="15CE5A36">
                  <wp:extent cx="1428750" cy="91514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8837" cy="934418"/>
                          </a:xfrm>
                          <a:prstGeom prst="rect">
                            <a:avLst/>
                          </a:prstGeom>
                        </pic:spPr>
                      </pic:pic>
                    </a:graphicData>
                  </a:graphic>
                </wp:inline>
              </w:drawing>
            </w:r>
          </w:p>
        </w:tc>
      </w:tr>
      <w:tr w:rsidR="006621C7" w:rsidRPr="00DC5240" w14:paraId="6D54A251" w14:textId="77777777" w:rsidTr="006621C7">
        <w:tc>
          <w:tcPr>
            <w:tcW w:w="4151" w:type="dxa"/>
          </w:tcPr>
          <w:p w14:paraId="646E9555" w14:textId="475E79D2" w:rsidR="006621C7" w:rsidRPr="00B75B7E" w:rsidRDefault="00B75B7E" w:rsidP="00B75B7E">
            <w:pPr>
              <w:pStyle w:val="Textkrper3"/>
              <w:jc w:val="center"/>
              <w:rPr>
                <w:rFonts w:ascii="Arial" w:hAnsi="Arial" w:cs="Arial"/>
                <w:sz w:val="22"/>
                <w:szCs w:val="22"/>
                <w:lang w:val="it-IT"/>
              </w:rPr>
            </w:pPr>
            <w:r w:rsidRPr="00B75B7E">
              <w:rPr>
                <w:rFonts w:ascii="Arial" w:hAnsi="Arial" w:cs="Arial"/>
                <w:sz w:val="22"/>
                <w:szCs w:val="22"/>
                <w:lang w:val="it-IT"/>
              </w:rPr>
              <w:t>Il nuovo TOP 422 A si distingue con piccoli trattori</w:t>
            </w:r>
          </w:p>
        </w:tc>
        <w:tc>
          <w:tcPr>
            <w:tcW w:w="4152" w:type="dxa"/>
          </w:tcPr>
          <w:p w14:paraId="0163D0F9" w14:textId="27624010" w:rsidR="006621C7" w:rsidRPr="00B75B7E" w:rsidRDefault="00B75B7E" w:rsidP="006621C7">
            <w:pPr>
              <w:pStyle w:val="Textkrper3"/>
              <w:jc w:val="center"/>
              <w:rPr>
                <w:rFonts w:ascii="Arial" w:hAnsi="Arial" w:cs="Arial"/>
                <w:sz w:val="22"/>
                <w:szCs w:val="22"/>
                <w:lang w:val="it-IT"/>
              </w:rPr>
            </w:pPr>
            <w:r w:rsidRPr="00B75B7E">
              <w:rPr>
                <w:rFonts w:ascii="Arial" w:hAnsi="Arial" w:cs="Arial"/>
                <w:sz w:val="22"/>
                <w:szCs w:val="22"/>
                <w:lang w:val="it-IT"/>
              </w:rPr>
              <w:t xml:space="preserve">Rastrellamento pulito con il nuovo </w:t>
            </w:r>
            <w:r w:rsidR="002C332B">
              <w:rPr>
                <w:rFonts w:ascii="Arial" w:hAnsi="Arial" w:cs="Arial"/>
                <w:sz w:val="22"/>
                <w:szCs w:val="22"/>
                <w:lang w:val="it-IT"/>
              </w:rPr>
              <w:t xml:space="preserve">    </w:t>
            </w:r>
            <w:r w:rsidRPr="00B75B7E">
              <w:rPr>
                <w:rFonts w:ascii="Arial" w:hAnsi="Arial" w:cs="Arial"/>
                <w:sz w:val="22"/>
                <w:szCs w:val="22"/>
                <w:lang w:val="it-IT"/>
              </w:rPr>
              <w:t>TOP 632 A</w:t>
            </w:r>
          </w:p>
        </w:tc>
      </w:tr>
      <w:tr w:rsidR="0030142C" w:rsidRPr="00DC5240" w14:paraId="295AAA49" w14:textId="77777777" w:rsidTr="006621C7">
        <w:tc>
          <w:tcPr>
            <w:tcW w:w="4151" w:type="dxa"/>
          </w:tcPr>
          <w:p w14:paraId="62E3F0AA" w14:textId="71E71453" w:rsidR="006621C7" w:rsidRPr="00B75B7E" w:rsidRDefault="00F95D6A" w:rsidP="003073C0">
            <w:pPr>
              <w:pStyle w:val="Textkrper3"/>
              <w:jc w:val="center"/>
              <w:rPr>
                <w:rFonts w:ascii="Arial" w:hAnsi="Arial" w:cs="Arial"/>
                <w:color w:val="FF00FF"/>
                <w:sz w:val="20"/>
                <w:szCs w:val="20"/>
                <w:lang w:val="it-IT"/>
              </w:rPr>
            </w:pPr>
            <w:hyperlink r:id="rId10" w:history="1">
              <w:r w:rsidR="003073C0" w:rsidRPr="00B75B7E">
                <w:rPr>
                  <w:rStyle w:val="Link"/>
                  <w:rFonts w:ascii="Arial" w:hAnsi="Arial" w:cs="Arial"/>
                  <w:color w:val="FF00FF"/>
                  <w:sz w:val="20"/>
                  <w:szCs w:val="20"/>
                  <w:lang w:val="it-IT"/>
                </w:rPr>
                <w:t>https://www.poettinger.at/de_at/Newsroom/Pressebild/4205</w:t>
              </w:r>
            </w:hyperlink>
          </w:p>
        </w:tc>
        <w:tc>
          <w:tcPr>
            <w:tcW w:w="4152" w:type="dxa"/>
          </w:tcPr>
          <w:p w14:paraId="5D949D12" w14:textId="0706257D" w:rsidR="006621C7" w:rsidRPr="00B75B7E" w:rsidRDefault="00F95D6A" w:rsidP="003073C0">
            <w:pPr>
              <w:pStyle w:val="Textkrper3"/>
              <w:jc w:val="center"/>
              <w:rPr>
                <w:rFonts w:ascii="Arial" w:hAnsi="Arial" w:cs="Arial"/>
                <w:color w:val="FF00FF"/>
                <w:sz w:val="20"/>
                <w:szCs w:val="20"/>
                <w:lang w:val="it-IT"/>
              </w:rPr>
            </w:pPr>
            <w:hyperlink r:id="rId11" w:history="1">
              <w:r w:rsidR="003073C0" w:rsidRPr="00B75B7E">
                <w:rPr>
                  <w:rStyle w:val="Link"/>
                  <w:rFonts w:ascii="Arial" w:hAnsi="Arial" w:cs="Arial"/>
                  <w:color w:val="FF00FF"/>
                  <w:sz w:val="20"/>
                  <w:szCs w:val="20"/>
                  <w:lang w:val="it-IT"/>
                </w:rPr>
                <w:t>https://www.poettinger.at/de_at/Newsroom/Pressebild/4204</w:t>
              </w:r>
            </w:hyperlink>
          </w:p>
        </w:tc>
      </w:tr>
    </w:tbl>
    <w:p w14:paraId="29BF5060" w14:textId="77777777" w:rsidR="002D171C" w:rsidRPr="00B75B7E" w:rsidRDefault="002D171C" w:rsidP="004C157C">
      <w:pPr>
        <w:widowControl w:val="0"/>
        <w:autoSpaceDE w:val="0"/>
        <w:autoSpaceDN w:val="0"/>
        <w:adjustRightInd w:val="0"/>
        <w:spacing w:line="360" w:lineRule="auto"/>
        <w:jc w:val="both"/>
        <w:rPr>
          <w:rFonts w:ascii="Arial" w:hAnsi="Arial" w:cs="Arial"/>
          <w:snapToGrid w:val="0"/>
          <w:color w:val="000000"/>
          <w:lang w:val="it-IT" w:eastAsia="de-DE"/>
        </w:rPr>
      </w:pPr>
    </w:p>
    <w:p w14:paraId="01CAFCC5" w14:textId="52483A66" w:rsidR="002D171C" w:rsidRPr="00B75B7E" w:rsidRDefault="000E0FA8" w:rsidP="004C157C">
      <w:pPr>
        <w:widowControl w:val="0"/>
        <w:autoSpaceDE w:val="0"/>
        <w:autoSpaceDN w:val="0"/>
        <w:adjustRightInd w:val="0"/>
        <w:spacing w:line="360" w:lineRule="auto"/>
        <w:jc w:val="both"/>
        <w:rPr>
          <w:rFonts w:ascii="Arial" w:hAnsi="Arial" w:cs="Arial"/>
          <w:snapToGrid w:val="0"/>
          <w:color w:val="000000"/>
          <w:lang w:val="it-IT" w:eastAsia="de-DE"/>
        </w:rPr>
      </w:pPr>
      <w:r w:rsidRPr="00B75B7E">
        <w:rPr>
          <w:rFonts w:ascii="Arial" w:hAnsi="Arial" w:cs="Arial"/>
          <w:snapToGrid w:val="0"/>
          <w:color w:val="000000"/>
          <w:lang w:val="it-IT" w:eastAsia="de-DE"/>
        </w:rPr>
        <w:t xml:space="preserve">Altre immagini ottimizzate per la stampa: </w:t>
      </w:r>
      <w:hyperlink r:id="rId12" w:history="1">
        <w:r w:rsidRPr="00B75B7E">
          <w:rPr>
            <w:rStyle w:val="Link"/>
            <w:rFonts w:ascii="Arial" w:hAnsi="Arial" w:cs="Arial"/>
            <w:snapToGrid w:val="0"/>
            <w:lang w:val="it-IT" w:eastAsia="de-DE"/>
          </w:rPr>
          <w:t>http://www.poettinger.at/presse</w:t>
        </w:r>
      </w:hyperlink>
    </w:p>
    <w:sectPr w:rsidR="002D171C" w:rsidRPr="00B75B7E"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DC4F1" w14:textId="77777777" w:rsidR="002C5A21" w:rsidRDefault="002C5A21" w:rsidP="00305DE3">
      <w:r>
        <w:separator/>
      </w:r>
    </w:p>
  </w:endnote>
  <w:endnote w:type="continuationSeparator" w:id="0">
    <w:p w14:paraId="74C3B886" w14:textId="77777777" w:rsidR="002C5A21" w:rsidRDefault="002C5A21"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lang w:val="de-AT"/>
      </w:rPr>
    </w:pPr>
    <w:r w:rsidRPr="002B6977">
      <w:rPr>
        <w:rFonts w:ascii="Arial" w:hAnsi="Arial" w:cs="Arial"/>
        <w:sz w:val="18"/>
        <w:szCs w:val="18"/>
        <w:lang w:val="de-DE"/>
      </w:rPr>
      <w:t>Tel</w:t>
    </w:r>
    <w:r w:rsidR="005C35CD">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005C1C9B" w:rsidRPr="002B6977">
      <w:rPr>
        <w:rStyle w:val="Seitenzahl"/>
        <w:rFonts w:ascii="Arial" w:hAnsi="Arial" w:cs="Arial"/>
        <w:sz w:val="18"/>
        <w:szCs w:val="18"/>
      </w:rPr>
      <w:fldChar w:fldCharType="separate"/>
    </w:r>
    <w:r w:rsidR="00F95D6A">
      <w:rPr>
        <w:rStyle w:val="Seitenzahl"/>
        <w:rFonts w:ascii="Arial" w:hAnsi="Arial" w:cs="Arial"/>
        <w:noProof/>
        <w:sz w:val="18"/>
        <w:szCs w:val="18"/>
        <w:lang w:val="de-AT"/>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10BDA" w14:textId="77777777" w:rsidR="002C5A21" w:rsidRDefault="002C5A21" w:rsidP="00305DE3">
      <w:r>
        <w:separator/>
      </w:r>
    </w:p>
  </w:footnote>
  <w:footnote w:type="continuationSeparator" w:id="0">
    <w:p w14:paraId="041A01FA" w14:textId="77777777" w:rsidR="002C5A21" w:rsidRDefault="002C5A21" w:rsidP="00305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06359E6B" w:rsidR="004C157C" w:rsidRPr="00164A93" w:rsidRDefault="000E0FA8" w:rsidP="00164A93">
    <w:pPr>
      <w:pStyle w:val="Kopfzeile"/>
      <w:rPr>
        <w:rFonts w:ascii="Arial" w:hAnsi="Arial" w:cs="Arial"/>
        <w:sz w:val="28"/>
        <w:szCs w:val="28"/>
      </w:rPr>
    </w:pPr>
    <w:r w:rsidRPr="00363D8E">
      <w:rPr>
        <w:rFonts w:ascii="Arial" w:hAnsi="Arial" w:cs="Arial"/>
        <w:b/>
      </w:rPr>
      <w:t>Comunicato stampa</w:t>
    </w:r>
    <w:r>
      <w:rPr>
        <w:rFonts w:ascii="Arial" w:hAnsi="Arial" w:cs="Arial"/>
        <w:sz w:val="28"/>
        <w:szCs w:val="28"/>
      </w:rPr>
      <w:t xml:space="preserve">              </w:t>
    </w:r>
    <w:r w:rsidR="004C157C">
      <w:rPr>
        <w:rFonts w:ascii="Arial" w:hAnsi="Arial" w:cs="Arial"/>
        <w:sz w:val="28"/>
        <w:szCs w:val="28"/>
      </w:rPr>
      <w:t xml:space="preserve">                 </w:t>
    </w:r>
    <w:r w:rsidR="004C157C"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defaultTabStop w:val="720"/>
  <w:hyphenationZone w:val="425"/>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E0FA8"/>
    <w:rsid w:val="000F5005"/>
    <w:rsid w:val="0010245E"/>
    <w:rsid w:val="00102BE2"/>
    <w:rsid w:val="00110880"/>
    <w:rsid w:val="00115487"/>
    <w:rsid w:val="001212C1"/>
    <w:rsid w:val="001357A3"/>
    <w:rsid w:val="00154644"/>
    <w:rsid w:val="00164A93"/>
    <w:rsid w:val="00181F74"/>
    <w:rsid w:val="00212EFC"/>
    <w:rsid w:val="00215009"/>
    <w:rsid w:val="00220839"/>
    <w:rsid w:val="00223BD4"/>
    <w:rsid w:val="0022437C"/>
    <w:rsid w:val="00264C1D"/>
    <w:rsid w:val="0027298A"/>
    <w:rsid w:val="00276C93"/>
    <w:rsid w:val="002940AC"/>
    <w:rsid w:val="002974C0"/>
    <w:rsid w:val="002A6608"/>
    <w:rsid w:val="002B0015"/>
    <w:rsid w:val="002C16B6"/>
    <w:rsid w:val="002C332B"/>
    <w:rsid w:val="002C475C"/>
    <w:rsid w:val="002C5A21"/>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5104F"/>
    <w:rsid w:val="00871763"/>
    <w:rsid w:val="00896EDB"/>
    <w:rsid w:val="008A2819"/>
    <w:rsid w:val="008A6D0C"/>
    <w:rsid w:val="008B4166"/>
    <w:rsid w:val="008D66F5"/>
    <w:rsid w:val="008E2CC1"/>
    <w:rsid w:val="008F08D0"/>
    <w:rsid w:val="008F1E41"/>
    <w:rsid w:val="008F25AE"/>
    <w:rsid w:val="008F2753"/>
    <w:rsid w:val="00902F84"/>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A3D20"/>
    <w:rsid w:val="00AA6649"/>
    <w:rsid w:val="00AB0934"/>
    <w:rsid w:val="00AB4167"/>
    <w:rsid w:val="00AB70FA"/>
    <w:rsid w:val="00AC2B53"/>
    <w:rsid w:val="00AC35BA"/>
    <w:rsid w:val="00AD403F"/>
    <w:rsid w:val="00AF3AF2"/>
    <w:rsid w:val="00B067B9"/>
    <w:rsid w:val="00B13834"/>
    <w:rsid w:val="00B217FF"/>
    <w:rsid w:val="00B21EC8"/>
    <w:rsid w:val="00B46970"/>
    <w:rsid w:val="00B5229F"/>
    <w:rsid w:val="00B75B7E"/>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23B81"/>
    <w:rsid w:val="00D4074D"/>
    <w:rsid w:val="00D4767F"/>
    <w:rsid w:val="00D708FF"/>
    <w:rsid w:val="00D722A4"/>
    <w:rsid w:val="00D731A2"/>
    <w:rsid w:val="00D737CD"/>
    <w:rsid w:val="00D97481"/>
    <w:rsid w:val="00DA4CBC"/>
    <w:rsid w:val="00DA6F0D"/>
    <w:rsid w:val="00DC37C9"/>
    <w:rsid w:val="00DC5240"/>
    <w:rsid w:val="00DF7C11"/>
    <w:rsid w:val="00E15C1B"/>
    <w:rsid w:val="00E510C4"/>
    <w:rsid w:val="00E53C3E"/>
    <w:rsid w:val="00E54FB4"/>
    <w:rsid w:val="00E554DD"/>
    <w:rsid w:val="00E55B16"/>
    <w:rsid w:val="00E76C27"/>
    <w:rsid w:val="00E76E99"/>
    <w:rsid w:val="00EB547A"/>
    <w:rsid w:val="00ED05DF"/>
    <w:rsid w:val="00ED2B8F"/>
    <w:rsid w:val="00ED7A66"/>
    <w:rsid w:val="00F058CF"/>
    <w:rsid w:val="00F132D5"/>
    <w:rsid w:val="00F22A2A"/>
    <w:rsid w:val="00F23BE8"/>
    <w:rsid w:val="00F35ADA"/>
    <w:rsid w:val="00F5003E"/>
    <w:rsid w:val="00F536C7"/>
    <w:rsid w:val="00F538B9"/>
    <w:rsid w:val="00F95D6A"/>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80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eiche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Link">
    <w:name w:val="Hyperlink"/>
    <w:basedOn w:val="Absatzstandardschriftart"/>
    <w:rsid w:val="009F5D05"/>
    <w:rPr>
      <w:color w:val="0000FF"/>
      <w:u w:val="single"/>
    </w:rPr>
  </w:style>
  <w:style w:type="table" w:styleId="Tabellenraster">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537C3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7C30"/>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537C30"/>
    <w:rPr>
      <w:color w:val="800080" w:themeColor="followedHyperlink"/>
      <w:u w:val="single"/>
    </w:rPr>
  </w:style>
  <w:style w:type="character" w:customStyle="1" w:styleId="FuzeileZeichen">
    <w:name w:val="Fußzeile Zeichen"/>
    <w:basedOn w:val="Absatzstandardschriftart"/>
    <w:link w:val="Fuzeile"/>
    <w:rsid w:val="000072D4"/>
    <w:rPr>
      <w:sz w:val="24"/>
      <w:szCs w:val="24"/>
      <w:lang w:val="en-US" w:eastAsia="en-US"/>
    </w:rPr>
  </w:style>
  <w:style w:type="character" w:customStyle="1" w:styleId="UnresolvedMention">
    <w:name w:val="Unresolved Mention"/>
    <w:basedOn w:val="Absatzstandardschriftart"/>
    <w:uiPriority w:val="99"/>
    <w:semiHidden/>
    <w:unhideWhenUsed/>
    <w:rsid w:val="003073C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eiche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Link">
    <w:name w:val="Hyperlink"/>
    <w:basedOn w:val="Absatzstandardschriftart"/>
    <w:rsid w:val="009F5D05"/>
    <w:rPr>
      <w:color w:val="0000FF"/>
      <w:u w:val="single"/>
    </w:rPr>
  </w:style>
  <w:style w:type="table" w:styleId="Tabellenraster">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537C3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7C30"/>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537C30"/>
    <w:rPr>
      <w:color w:val="800080" w:themeColor="followedHyperlink"/>
      <w:u w:val="single"/>
    </w:rPr>
  </w:style>
  <w:style w:type="character" w:customStyle="1" w:styleId="FuzeileZeichen">
    <w:name w:val="Fußzeile Zeichen"/>
    <w:basedOn w:val="Absatzstandardschriftart"/>
    <w:link w:val="Fuzeile"/>
    <w:rsid w:val="000072D4"/>
    <w:rPr>
      <w:sz w:val="24"/>
      <w:szCs w:val="24"/>
      <w:lang w:val="en-US" w:eastAsia="en-US"/>
    </w:rPr>
  </w:style>
  <w:style w:type="character" w:customStyle="1" w:styleId="UnresolvedMention">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oettinger.at/de_at/Newsroom/Pressebild/4204" TargetMode="External"/><Relationship Id="rId12" Type="http://schemas.openxmlformats.org/officeDocument/2006/relationships/hyperlink" Target="http://www.poettinger.at/pres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poettinger.at/de_at/Newsroom/Pressebild/42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0D055-20A0-7249-8AEE-61D12314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4633</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Bruno Mohovich</cp:lastModifiedBy>
  <cp:revision>8</cp:revision>
  <cp:lastPrinted>2019-07-19T07:17:00Z</cp:lastPrinted>
  <dcterms:created xsi:type="dcterms:W3CDTF">2020-06-25T09:23:00Z</dcterms:created>
  <dcterms:modified xsi:type="dcterms:W3CDTF">2020-07-16T09:39:00Z</dcterms:modified>
</cp:coreProperties>
</file>